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0E4060" w:rsidRDefault="000E4060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0E4060" w:rsidRPr="000E4060">
        <w:rPr>
          <w:b/>
          <w:bCs/>
        </w:rPr>
        <w:t xml:space="preserve">Медиатор общего профиля </w:t>
      </w:r>
      <w:r w:rsidR="00FB330F" w:rsidRPr="008757D2">
        <w:t>(</w:t>
      </w:r>
      <w:r w:rsidR="000E4060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E4060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0E4060" w:rsidRPr="000E4060">
        <w:t xml:space="preserve">Административно-управленческая и офисная деятельность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0E4060" w:rsidRPr="000E4060">
        <w:t>Медиация (урегулирование споров с помощью процедуры медиации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0E4060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0E4060">
              <w:rPr>
                <w:rFonts w:ascii="Times New Roman" w:hAnsi="Times New Roman" w:cs="Times New Roman"/>
              </w:rPr>
              <w:t>Специалист в области медиации (медиатор)</w:t>
            </w:r>
            <w:r w:rsidR="002B0E04" w:rsidRPr="000E4060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0E4060">
              <w:rPr>
                <w:rFonts w:ascii="Times New Roman" w:hAnsi="Times New Roman" w:cs="Times New Roman"/>
              </w:rPr>
              <w:t xml:space="preserve">15.12.2014 № 1041н 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0E4060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204"/>
        <w:gridCol w:w="2062"/>
        <w:gridCol w:w="2062"/>
        <w:gridCol w:w="1881"/>
        <w:gridCol w:w="2135"/>
      </w:tblGrid>
      <w:tr w:rsidR="004A03BD" w:rsidTr="004D2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0E4060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4D2BC9" w:rsidRPr="00452045" w:rsidRDefault="000E4060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0E4060">
              <w:rPr>
                <w:rFonts w:eastAsia="Courier New" w:cs="Courier New"/>
                <w:color w:val="auto"/>
                <w:sz w:val="24"/>
                <w:szCs w:val="24"/>
              </w:rPr>
              <w:t>Организационно-техническое и документарное обеспечение процедуры медиации</w:t>
            </w:r>
          </w:p>
        </w:tc>
        <w:tc>
          <w:tcPr>
            <w:tcW w:w="2062" w:type="dxa"/>
          </w:tcPr>
          <w:p w:rsidR="004D2BC9" w:rsidRPr="000E4060" w:rsidRDefault="000E4060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0E4060">
              <w:rPr>
                <w:color w:val="auto"/>
                <w:sz w:val="18"/>
                <w:szCs w:val="18"/>
              </w:rPr>
              <w:t>Разъяснение сути процедуры медиации сторонам и их консультантам в общем виде</w:t>
            </w:r>
            <w:r w:rsidRPr="000E4060">
              <w:rPr>
                <w:color w:val="auto"/>
                <w:sz w:val="18"/>
                <w:szCs w:val="18"/>
              </w:rPr>
              <w:br/>
              <w:t>Выявление сути спора в целях понимания пригодности его для разрешения в рамках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Установление правосубъектности лиц, предполагающих участие в процедуре медиации</w:t>
            </w:r>
            <w:r w:rsidRPr="000E4060">
              <w:rPr>
                <w:color w:val="auto"/>
                <w:sz w:val="18"/>
                <w:szCs w:val="18"/>
              </w:rPr>
              <w:br/>
              <w:t xml:space="preserve">Согласование кандидатуры медиатора для проведения конкретной </w:t>
            </w:r>
            <w:r w:rsidRPr="000E4060">
              <w:rPr>
                <w:color w:val="auto"/>
                <w:sz w:val="18"/>
                <w:szCs w:val="18"/>
              </w:rPr>
              <w:lastRenderedPageBreak/>
              <w:t>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Согласование организационных вопросов, касающихся проведения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Согласование финансовых расходов на проведение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Подготовка проектов документов, используемых в ходе подготовки, организации, проведения процедуры медиации и по ее завершению</w:t>
            </w:r>
            <w:r w:rsidRPr="000E4060">
              <w:rPr>
                <w:color w:val="auto"/>
                <w:sz w:val="18"/>
                <w:szCs w:val="18"/>
              </w:rPr>
              <w:br/>
              <w:t>Согласование проектов документов, используемых в ходе подготовки, организации, проведении процедуры медиации и по ее завершению, со сторонами процедуры медиации</w:t>
            </w:r>
          </w:p>
        </w:tc>
        <w:tc>
          <w:tcPr>
            <w:tcW w:w="2062" w:type="dxa"/>
          </w:tcPr>
          <w:p w:rsidR="004D2BC9" w:rsidRPr="000E4060" w:rsidRDefault="000E4060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0E4060">
              <w:rPr>
                <w:color w:val="auto"/>
                <w:sz w:val="18"/>
                <w:szCs w:val="18"/>
              </w:rPr>
              <w:lastRenderedPageBreak/>
              <w:t>Оценивать применимость медиации для конкретного случая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Pr="000E4060">
              <w:rPr>
                <w:color w:val="auto"/>
                <w:sz w:val="18"/>
                <w:szCs w:val="18"/>
              </w:rPr>
              <w:t>спора</w:t>
            </w:r>
            <w:r w:rsidRPr="000E4060">
              <w:rPr>
                <w:color w:val="auto"/>
                <w:sz w:val="18"/>
                <w:szCs w:val="18"/>
              </w:rPr>
              <w:br/>
              <w:t>Осуществлять профессиональное взаимодействие с участниками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Устанавливать полномочия лиц, участвующих в процедуре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Рассчитывать и обосновывать финансовые расходы по проведению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</w:r>
            <w:r w:rsidRPr="000E4060">
              <w:rPr>
                <w:color w:val="auto"/>
                <w:sz w:val="18"/>
                <w:szCs w:val="18"/>
              </w:rPr>
              <w:lastRenderedPageBreak/>
              <w:t>Составлять организационно-распорядительные и справочно-информационные документы</w:t>
            </w:r>
            <w:r w:rsidRPr="000E4060">
              <w:rPr>
                <w:color w:val="auto"/>
                <w:sz w:val="18"/>
                <w:szCs w:val="18"/>
              </w:rPr>
              <w:br/>
              <w:t>Пользоваться офисной техникой (компьютер, принтер, сканер, факс)</w:t>
            </w:r>
            <w:r w:rsidRPr="000E4060">
              <w:rPr>
                <w:color w:val="auto"/>
                <w:sz w:val="18"/>
                <w:szCs w:val="18"/>
              </w:rPr>
              <w:br/>
              <w:t>Пользоваться основными офисными программами (текстовые редакторы и программы составления презентаций)</w:t>
            </w:r>
          </w:p>
        </w:tc>
        <w:tc>
          <w:tcPr>
            <w:tcW w:w="1881" w:type="dxa"/>
          </w:tcPr>
          <w:p w:rsidR="004D2BC9" w:rsidRPr="000E4060" w:rsidRDefault="000E4060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0E4060">
              <w:rPr>
                <w:color w:val="auto"/>
                <w:sz w:val="18"/>
                <w:szCs w:val="18"/>
              </w:rPr>
              <w:lastRenderedPageBreak/>
              <w:t>Принципы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Последовательность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Роль медиатора и участников в процедуре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Кодекс профессиональной этики медиатора</w:t>
            </w:r>
            <w:r w:rsidRPr="000E4060">
              <w:rPr>
                <w:color w:val="auto"/>
                <w:sz w:val="18"/>
                <w:szCs w:val="18"/>
              </w:rPr>
              <w:br/>
              <w:t>Основы гражданского права</w:t>
            </w:r>
            <w:r w:rsidRPr="000E4060">
              <w:rPr>
                <w:color w:val="auto"/>
                <w:sz w:val="18"/>
                <w:szCs w:val="18"/>
              </w:rPr>
              <w:br/>
              <w:t>Законодательство Российской Федерации о медиации</w:t>
            </w:r>
            <w:r w:rsidRPr="000E4060">
              <w:rPr>
                <w:color w:val="auto"/>
                <w:sz w:val="18"/>
                <w:szCs w:val="18"/>
              </w:rPr>
              <w:br/>
              <w:t xml:space="preserve">Ограничения, социальные нормы и стандарты, традиции, обычаи и их роль в </w:t>
            </w:r>
            <w:r w:rsidRPr="000E4060">
              <w:rPr>
                <w:color w:val="auto"/>
                <w:sz w:val="18"/>
                <w:szCs w:val="18"/>
              </w:rPr>
              <w:lastRenderedPageBreak/>
              <w:t>разрешении конфликтов</w:t>
            </w:r>
            <w:r w:rsidRPr="000E4060">
              <w:rPr>
                <w:color w:val="auto"/>
                <w:sz w:val="18"/>
                <w:szCs w:val="18"/>
              </w:rPr>
              <w:br/>
              <w:t>Статьи расходов на проведение процедуры медиации</w:t>
            </w:r>
            <w:r w:rsidRPr="000E4060">
              <w:rPr>
                <w:color w:val="auto"/>
                <w:sz w:val="18"/>
                <w:szCs w:val="18"/>
              </w:rPr>
              <w:br/>
              <w:t>Основы социальной коммуникации</w:t>
            </w:r>
            <w:r w:rsidRPr="000E4060">
              <w:rPr>
                <w:color w:val="auto"/>
                <w:sz w:val="18"/>
                <w:szCs w:val="18"/>
              </w:rPr>
              <w:br/>
              <w:t>Правила составления и ведения организационно-распорядительных и справочно-информационных документов</w:t>
            </w:r>
            <w:r w:rsidRPr="000E4060">
              <w:rPr>
                <w:color w:val="auto"/>
                <w:sz w:val="18"/>
                <w:szCs w:val="18"/>
              </w:rPr>
              <w:br/>
              <w:t>Особенности применения основных офисных программ (текстовые редакторы и программы составления презентаций)</w:t>
            </w:r>
          </w:p>
        </w:tc>
        <w:tc>
          <w:tcPr>
            <w:tcW w:w="2135" w:type="dxa"/>
          </w:tcPr>
          <w:p w:rsidR="004D2BC9" w:rsidRPr="000E4060" w:rsidRDefault="000E4060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0E4060">
              <w:rPr>
                <w:color w:val="auto"/>
                <w:sz w:val="18"/>
                <w:szCs w:val="18"/>
              </w:rPr>
              <w:lastRenderedPageBreak/>
              <w:t>Следовать положениям кодекса профессиональной этики медиатора</w:t>
            </w: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 w:rsidR="000E4060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3C4B4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3C4B48">
              <w:rPr>
                <w:color w:val="auto"/>
                <w:sz w:val="24"/>
                <w:szCs w:val="24"/>
              </w:rPr>
              <w:t>Подготовка к процедуре медиации</w:t>
            </w:r>
          </w:p>
        </w:tc>
        <w:tc>
          <w:tcPr>
            <w:tcW w:w="2062" w:type="dxa"/>
          </w:tcPr>
          <w:p w:rsidR="004D2BC9" w:rsidRPr="003C4B48" w:rsidRDefault="003C4B48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3C4B48">
              <w:rPr>
                <w:color w:val="auto"/>
                <w:sz w:val="18"/>
                <w:szCs w:val="18"/>
              </w:rPr>
              <w:t>Разъяснение сторонам сути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Выявление ожиданий сторон в отношении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Формирование и согласование со сторонами правил проведения конкретной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Формирование и согласование со сторонами временного регламента проведения конкретной процедуры медиации</w:t>
            </w:r>
          </w:p>
        </w:tc>
        <w:tc>
          <w:tcPr>
            <w:tcW w:w="2062" w:type="dxa"/>
          </w:tcPr>
          <w:p w:rsidR="004D2BC9" w:rsidRPr="003C4B48" w:rsidRDefault="003C4B4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3C4B48">
              <w:rPr>
                <w:color w:val="auto"/>
                <w:sz w:val="18"/>
                <w:szCs w:val="18"/>
              </w:rPr>
              <w:t>Налаживать взаимодействие с каждой из сторон и участниками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Налаживать взаимодействие между сторонами и участниками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Анализировать информацию</w:t>
            </w:r>
            <w:r w:rsidRPr="003C4B48">
              <w:rPr>
                <w:color w:val="auto"/>
                <w:sz w:val="18"/>
                <w:szCs w:val="18"/>
              </w:rPr>
              <w:br/>
              <w:t>Формулировать, уточнять, прояснять, разъяснять высказывания участников и сторон в процедуре медиации</w:t>
            </w:r>
            <w:r w:rsidRPr="003C4B48">
              <w:rPr>
                <w:color w:val="auto"/>
                <w:sz w:val="18"/>
                <w:szCs w:val="18"/>
              </w:rPr>
              <w:br/>
              <w:t xml:space="preserve">Обобщать и </w:t>
            </w:r>
            <w:r w:rsidRPr="003C4B48">
              <w:rPr>
                <w:color w:val="auto"/>
                <w:sz w:val="18"/>
                <w:szCs w:val="18"/>
              </w:rPr>
              <w:lastRenderedPageBreak/>
              <w:t>резюмировать высказывания участников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Содействовать сторонам в анализе выгод, издержек, последствий и возможностей событий, состояний</w:t>
            </w:r>
            <w:r w:rsidRPr="003C4B48">
              <w:rPr>
                <w:color w:val="auto"/>
                <w:sz w:val="18"/>
                <w:szCs w:val="18"/>
              </w:rPr>
              <w:br/>
              <w:t>Распознавать и корректировать эмоциональное состояние участников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Структурировать цели участников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Организовать процесс взаимодействия участников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Поддерживать баланс времени и сил в процессе высказывания сторон и отстаивания ими своих точек зрения</w:t>
            </w:r>
            <w:r w:rsidRPr="003C4B48">
              <w:rPr>
                <w:color w:val="auto"/>
                <w:sz w:val="18"/>
                <w:szCs w:val="18"/>
              </w:rPr>
              <w:br/>
              <w:t>Сохранять нейтральность, беспристрастность в отношении сторон и предмета спора</w:t>
            </w:r>
          </w:p>
        </w:tc>
        <w:tc>
          <w:tcPr>
            <w:tcW w:w="1881" w:type="dxa"/>
          </w:tcPr>
          <w:p w:rsidR="004D2BC9" w:rsidRPr="003C4B48" w:rsidRDefault="003C4B4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3C4B48">
              <w:rPr>
                <w:color w:val="auto"/>
                <w:sz w:val="18"/>
                <w:szCs w:val="18"/>
              </w:rPr>
              <w:lastRenderedPageBreak/>
              <w:t>Принципы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Последовательность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Кодекс профессиональной этики медиатора</w:t>
            </w:r>
            <w:r w:rsidRPr="003C4B48">
              <w:rPr>
                <w:color w:val="auto"/>
                <w:sz w:val="18"/>
                <w:szCs w:val="18"/>
              </w:rPr>
              <w:br/>
              <w:t>Техники и приемы оказания медиативной помощи</w:t>
            </w:r>
            <w:r w:rsidRPr="003C4B48">
              <w:rPr>
                <w:color w:val="auto"/>
                <w:sz w:val="18"/>
                <w:szCs w:val="18"/>
              </w:rPr>
              <w:br/>
              <w:t>Законодательство Российской Федерации о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Основы гражданского права</w:t>
            </w:r>
            <w:r w:rsidRPr="003C4B48">
              <w:rPr>
                <w:color w:val="auto"/>
                <w:sz w:val="18"/>
                <w:szCs w:val="18"/>
              </w:rPr>
              <w:br/>
              <w:t xml:space="preserve">Основы психологической коррекции установок </w:t>
            </w:r>
            <w:r w:rsidRPr="003C4B48">
              <w:rPr>
                <w:color w:val="auto"/>
                <w:sz w:val="18"/>
                <w:szCs w:val="18"/>
              </w:rPr>
              <w:lastRenderedPageBreak/>
              <w:t>и восприятия</w:t>
            </w:r>
            <w:r w:rsidRPr="003C4B48">
              <w:rPr>
                <w:color w:val="auto"/>
                <w:sz w:val="18"/>
                <w:szCs w:val="18"/>
              </w:rPr>
              <w:br/>
              <w:t>Основы социальной психологии</w:t>
            </w:r>
            <w:r w:rsidRPr="003C4B48">
              <w:rPr>
                <w:color w:val="auto"/>
                <w:sz w:val="18"/>
                <w:szCs w:val="18"/>
              </w:rPr>
              <w:br/>
              <w:t>Виды эмоционального реагирования</w:t>
            </w:r>
            <w:r w:rsidRPr="003C4B48">
              <w:rPr>
                <w:color w:val="auto"/>
                <w:sz w:val="18"/>
                <w:szCs w:val="18"/>
              </w:rPr>
              <w:br/>
              <w:t>Основы гуманистической психологии</w:t>
            </w:r>
            <w:r w:rsidRPr="003C4B48">
              <w:rPr>
                <w:color w:val="auto"/>
                <w:sz w:val="18"/>
                <w:szCs w:val="18"/>
              </w:rPr>
              <w:br/>
              <w:t>Основы когнитивной психологии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  <w:r w:rsidRPr="00FD4713">
              <w:rPr>
                <w:sz w:val="24"/>
                <w:szCs w:val="24"/>
              </w:rPr>
              <w:t>.</w:t>
            </w:r>
            <w:r w:rsidR="003C4B48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3C4B4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3C4B48">
              <w:rPr>
                <w:color w:val="auto"/>
                <w:sz w:val="24"/>
                <w:szCs w:val="24"/>
              </w:rPr>
              <w:t>Ведение процесса выработки, согласования условий медиативного соглашения и завершения процедуры медиации</w:t>
            </w:r>
          </w:p>
        </w:tc>
        <w:tc>
          <w:tcPr>
            <w:tcW w:w="2062" w:type="dxa"/>
          </w:tcPr>
          <w:p w:rsidR="004D2BC9" w:rsidRPr="003C4B48" w:rsidRDefault="003C4B48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3C4B48">
              <w:rPr>
                <w:color w:val="auto"/>
                <w:sz w:val="18"/>
                <w:szCs w:val="18"/>
              </w:rPr>
              <w:t>Прояснение содержания спора между сторонами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Выявление вопросов, возникших в связи со спором и требующих обсуждения в ходе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Формирование повестки обсуждения вопросов, требующих рассмотрения в ходе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 xml:space="preserve">Проведение </w:t>
            </w:r>
            <w:r w:rsidRPr="003C4B48">
              <w:rPr>
                <w:color w:val="auto"/>
                <w:sz w:val="18"/>
                <w:szCs w:val="18"/>
              </w:rPr>
              <w:lastRenderedPageBreak/>
              <w:t>обсуждения вопросов повестки с целью обеспечения понимания сторонами процедуры медиации своих интересов и интересов другой стороны</w:t>
            </w:r>
            <w:r w:rsidRPr="003C4B48">
              <w:rPr>
                <w:color w:val="auto"/>
                <w:sz w:val="18"/>
                <w:szCs w:val="18"/>
              </w:rPr>
              <w:br/>
              <w:t>Выявление истинных потребностей сторон, в том числе относительно результата процедуры медиации</w:t>
            </w:r>
            <w:r w:rsidRPr="003C4B48">
              <w:rPr>
                <w:color w:val="auto"/>
                <w:sz w:val="18"/>
                <w:szCs w:val="18"/>
              </w:rPr>
              <w:br/>
              <w:t>Выработка вариантов разрешения спора по итогам обсуждения вопросов принятой повестки</w:t>
            </w:r>
            <w:r w:rsidRPr="003C4B48">
              <w:rPr>
                <w:color w:val="auto"/>
                <w:sz w:val="18"/>
                <w:szCs w:val="18"/>
              </w:rPr>
              <w:br/>
              <w:t>Обсуждение со сторонами процедуры медиации исполнимости и реалистичности медиативного соглашения</w:t>
            </w:r>
            <w:r w:rsidRPr="003C4B48">
              <w:rPr>
                <w:color w:val="auto"/>
                <w:sz w:val="18"/>
                <w:szCs w:val="18"/>
              </w:rPr>
              <w:br/>
              <w:t>Согласование со сторонами процедуры медиации алгоритма выполнения медиативного соглашения</w:t>
            </w:r>
            <w:r w:rsidRPr="003C4B48">
              <w:rPr>
                <w:color w:val="auto"/>
                <w:sz w:val="18"/>
                <w:szCs w:val="18"/>
              </w:rPr>
              <w:br/>
              <w:t>Согласование действий сторон процедуры медиации в случае невыполнения ими или одной из сторон медиативного соглашения</w:t>
            </w:r>
            <w:r w:rsidRPr="003C4B48">
              <w:rPr>
                <w:color w:val="auto"/>
                <w:sz w:val="18"/>
                <w:szCs w:val="18"/>
              </w:rPr>
              <w:br/>
              <w:t>Составление и обеспечение подписания итогового медиативного соглашения</w:t>
            </w:r>
            <w:r w:rsidRPr="003C4B48">
              <w:rPr>
                <w:color w:val="auto"/>
                <w:sz w:val="18"/>
                <w:szCs w:val="18"/>
              </w:rPr>
              <w:br/>
              <w:t>Выявление отношения сторон к ходу и результатам процедуры медиации</w:t>
            </w:r>
          </w:p>
        </w:tc>
        <w:tc>
          <w:tcPr>
            <w:tcW w:w="2062" w:type="dxa"/>
          </w:tcPr>
          <w:p w:rsidR="004D2BC9" w:rsidRPr="003C4B48" w:rsidRDefault="003C4B48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3C4B48">
              <w:rPr>
                <w:sz w:val="18"/>
                <w:szCs w:val="18"/>
                <w:lang w:val="ru-RU" w:bidi="ru-RU"/>
              </w:rPr>
              <w:lastRenderedPageBreak/>
              <w:t>Анализировать информацию</w:t>
            </w:r>
            <w:r w:rsidRPr="003C4B48">
              <w:rPr>
                <w:sz w:val="18"/>
                <w:szCs w:val="18"/>
                <w:lang w:val="ru-RU" w:bidi="ru-RU"/>
              </w:rPr>
              <w:br/>
              <w:t>Формулировать, уточнять, прояснять, разъяснять высказывания участников и сторон медиативного соглашения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Обобщать и резюмировать высказывания</w:t>
            </w:r>
            <w:r w:rsidRPr="003C4B48">
              <w:rPr>
                <w:sz w:val="18"/>
                <w:szCs w:val="18"/>
                <w:lang w:val="ru-RU" w:bidi="ru-RU"/>
              </w:rPr>
              <w:br/>
              <w:t xml:space="preserve">Анализировать выгоды, издержки, последствия </w:t>
            </w:r>
            <w:r w:rsidRPr="003C4B48">
              <w:rPr>
                <w:sz w:val="18"/>
                <w:szCs w:val="18"/>
                <w:lang w:val="ru-RU" w:bidi="ru-RU"/>
              </w:rPr>
              <w:lastRenderedPageBreak/>
              <w:t>и возможности событий</w:t>
            </w:r>
            <w:r>
              <w:rPr>
                <w:sz w:val="18"/>
                <w:szCs w:val="18"/>
                <w:lang w:val="ru-RU" w:bidi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C4B48">
              <w:rPr>
                <w:sz w:val="18"/>
                <w:szCs w:val="18"/>
                <w:lang w:val="ru-RU" w:bidi="ru-RU"/>
              </w:rPr>
              <w:t>состояний</w:t>
            </w:r>
            <w:r w:rsidRPr="003C4B48">
              <w:rPr>
                <w:sz w:val="18"/>
                <w:szCs w:val="18"/>
                <w:lang w:val="ru-RU" w:bidi="ru-RU"/>
              </w:rPr>
              <w:br/>
              <w:t>Распознавать и корректировать эмоциональное состояние участников процедуры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Структурировать цели участников процедуры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Организовывать процесс взаимодействия участников процедуры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Сохранять нейтральность, беспристрастность в отношении сторон и предмета спора</w:t>
            </w:r>
            <w:r w:rsidRPr="003C4B48">
              <w:rPr>
                <w:sz w:val="18"/>
                <w:szCs w:val="18"/>
                <w:lang w:val="ru-RU" w:bidi="ru-RU"/>
              </w:rPr>
              <w:br/>
              <w:t>Выделять существенное в высказываниях</w:t>
            </w:r>
            <w:r w:rsidRPr="003C4B48">
              <w:rPr>
                <w:sz w:val="18"/>
                <w:szCs w:val="18"/>
                <w:lang w:val="ru-RU" w:bidi="ru-RU"/>
              </w:rPr>
              <w:br/>
              <w:t>Анализировать эмоциональные реакции сторон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Организовывать поиск совместных решений</w:t>
            </w:r>
            <w:r w:rsidRPr="003C4B48">
              <w:rPr>
                <w:sz w:val="18"/>
                <w:szCs w:val="18"/>
                <w:lang w:val="ru-RU" w:bidi="ru-RU"/>
              </w:rPr>
              <w:br/>
              <w:t>Содействовать критическому конструктивному анализу</w:t>
            </w:r>
            <w:r w:rsidRPr="003C4B48">
              <w:rPr>
                <w:sz w:val="18"/>
                <w:szCs w:val="18"/>
                <w:lang w:val="ru-RU" w:bidi="ru-RU"/>
              </w:rPr>
              <w:br/>
              <w:t>Содействовать формулированию решений</w:t>
            </w:r>
            <w:r w:rsidRPr="003C4B48">
              <w:rPr>
                <w:sz w:val="18"/>
                <w:szCs w:val="18"/>
                <w:lang w:val="ru-RU" w:bidi="ru-RU"/>
              </w:rPr>
              <w:br/>
              <w:t>Поддерживать баланс времени и сил между сторонами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Обеспечивать оптимальный уровень конкретизации решений</w:t>
            </w:r>
            <w:r w:rsidRPr="003C4B48">
              <w:rPr>
                <w:sz w:val="18"/>
                <w:szCs w:val="18"/>
                <w:lang w:val="ru-RU" w:bidi="ru-RU"/>
              </w:rPr>
              <w:br/>
              <w:t>Работать со средствами визуализации информации</w:t>
            </w:r>
          </w:p>
        </w:tc>
        <w:tc>
          <w:tcPr>
            <w:tcW w:w="1881" w:type="dxa"/>
          </w:tcPr>
          <w:p w:rsidR="004D2BC9" w:rsidRPr="003C4B48" w:rsidRDefault="003C4B48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3C4B48">
              <w:rPr>
                <w:sz w:val="18"/>
                <w:szCs w:val="18"/>
                <w:lang w:val="ru-RU" w:bidi="ru-RU"/>
              </w:rPr>
              <w:lastRenderedPageBreak/>
              <w:t>Принципы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Последовательность процедуры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Техники работы медиатора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Основы гражданского права</w:t>
            </w:r>
            <w:r w:rsidRPr="003C4B48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о медиации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Основы теории переговоров</w:t>
            </w:r>
            <w:r w:rsidRPr="003C4B48">
              <w:rPr>
                <w:sz w:val="18"/>
                <w:szCs w:val="18"/>
                <w:lang w:val="ru-RU" w:bidi="ru-RU"/>
              </w:rPr>
              <w:br/>
              <w:t xml:space="preserve">Основы формальной </w:t>
            </w:r>
            <w:r w:rsidRPr="003C4B48">
              <w:rPr>
                <w:sz w:val="18"/>
                <w:szCs w:val="18"/>
                <w:lang w:val="ru-RU" w:bidi="ru-RU"/>
              </w:rPr>
              <w:lastRenderedPageBreak/>
              <w:t>логики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Кодекс профессиональной этики медиатора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Основы гуманистической психологии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Основы когнитивной психологии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Основы психологической коррекции установок и восприятия</w:t>
            </w:r>
            <w:r w:rsidRPr="003C4B48">
              <w:rPr>
                <w:sz w:val="18"/>
                <w:szCs w:val="18"/>
                <w:lang w:val="ru-RU" w:bidi="ru-RU"/>
              </w:rPr>
              <w:br/>
              <w:t>Виды эмоционального реагирования</w:t>
            </w:r>
            <w:r w:rsidRPr="003C4B48">
              <w:rPr>
                <w:sz w:val="18"/>
                <w:szCs w:val="18"/>
                <w:lang w:val="ru-RU" w:bidi="ru-RU"/>
              </w:rPr>
              <w:br/>
              <w:t>Основные приемы и средства визуализации информации</w:t>
            </w:r>
            <w:r w:rsidRPr="003C4B48">
              <w:rPr>
                <w:sz w:val="18"/>
                <w:szCs w:val="18"/>
                <w:lang w:val="ru-RU" w:bidi="ru-RU"/>
              </w:rPr>
              <w:br/>
              <w:t>Способы поиска совместных решений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pTextStyle"/>
              <w:rPr>
                <w:color w:val="FF0000"/>
                <w:sz w:val="18"/>
                <w:szCs w:val="18"/>
                <w:lang w:val="ru-RU" w:bidi="ru-RU"/>
              </w:rPr>
            </w:pP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3C4B48" w:rsidTr="00BB5780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  <w:r w:rsidRPr="003C4B48">
              <w:rPr>
                <w:rFonts w:ascii="Times New Roman" w:hAnsi="Times New Roman" w:cs="Times New Roman"/>
              </w:rPr>
              <w:t>Медиатор общего профиля (не имеющий специализации)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3C4B48" w:rsidRDefault="003C4B48" w:rsidP="003C4B48">
            <w:pPr>
              <w:rPr>
                <w:rFonts w:ascii="Times New Roman" w:hAnsi="Times New Roman" w:cs="Times New Roman"/>
              </w:rPr>
            </w:pPr>
            <w:r w:rsidRPr="003C4B48">
              <w:rPr>
                <w:rFonts w:ascii="Times New Roman" w:hAnsi="Times New Roman" w:cs="Times New Roman"/>
                <w:color w:val="333333"/>
              </w:rPr>
              <w:t>2429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3C4B48" w:rsidRDefault="003C4B48" w:rsidP="003C4B4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C4B48">
              <w:rPr>
                <w:rFonts w:ascii="Times New Roman" w:hAnsi="Times New Roman" w:cs="Times New Roman"/>
                <w:color w:val="333333"/>
              </w:rPr>
              <w:t>Специалисты в области права, не вошедшие в другие группы</w:t>
            </w:r>
          </w:p>
        </w:tc>
      </w:tr>
      <w:tr w:rsidR="003C4B48" w:rsidTr="00A22EBC">
        <w:trPr>
          <w:trHeight w:hRule="exact" w:val="32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B48" w:rsidRPr="003C4B48" w:rsidRDefault="003C4B48" w:rsidP="003C4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3C4B48" w:rsidRDefault="003C4B48" w:rsidP="003C4B48">
            <w:pPr>
              <w:rPr>
                <w:rFonts w:ascii="Times New Roman" w:hAnsi="Times New Roman" w:cs="Times New Roman"/>
              </w:rPr>
            </w:pPr>
            <w:r w:rsidRPr="003C4B48">
              <w:rPr>
                <w:rFonts w:ascii="Times New Roman" w:hAnsi="Times New Roman" w:cs="Times New Roman"/>
                <w:color w:val="333333"/>
              </w:rPr>
              <w:t>2446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3C4B48" w:rsidRDefault="003C4B48" w:rsidP="003C4B48">
            <w:pPr>
              <w:rPr>
                <w:rFonts w:ascii="Times New Roman" w:hAnsi="Times New Roman" w:cs="Times New Roman"/>
              </w:rPr>
            </w:pPr>
            <w:r w:rsidRPr="003C4B48">
              <w:rPr>
                <w:rFonts w:ascii="Times New Roman" w:hAnsi="Times New Roman" w:cs="Times New Roman"/>
                <w:color w:val="333333"/>
              </w:rPr>
              <w:t>Специалисты в сфере социальных проблем</w:t>
            </w:r>
          </w:p>
        </w:tc>
      </w:tr>
      <w:tr w:rsidR="003C4B48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3C4B48" w:rsidRDefault="003C4B48" w:rsidP="003C4B4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3C4B48" w:rsidRDefault="003C4B48" w:rsidP="003C4B48">
            <w:pPr>
              <w:pStyle w:val="a7"/>
              <w:ind w:firstLine="0"/>
              <w:rPr>
                <w:rStyle w:val="a6"/>
              </w:rPr>
            </w:pPr>
          </w:p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B48" w:rsidRPr="00FB330F" w:rsidRDefault="003C4B48" w:rsidP="003C4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B48" w:rsidRPr="004A03BD" w:rsidRDefault="003C4B48" w:rsidP="003C4B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B48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9C6525" w:rsidRDefault="003C4B48" w:rsidP="003C4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9C6525" w:rsidRDefault="003C4B48" w:rsidP="003C4B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B48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B48" w:rsidRPr="00452045" w:rsidRDefault="003C4B48" w:rsidP="003C4B48">
            <w:pPr>
              <w:rPr>
                <w:rFonts w:ascii="Times New Roman" w:hAnsi="Times New Roman" w:cs="Times New Roman"/>
              </w:rPr>
            </w:pPr>
          </w:p>
        </w:tc>
      </w:tr>
      <w:tr w:rsidR="003C4B4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3F7864" w:rsidRDefault="003C4B48" w:rsidP="003C4B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B48" w:rsidRPr="009C6525" w:rsidRDefault="003C4B48" w:rsidP="003C4B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B48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4B48" w:rsidRDefault="003C4B48" w:rsidP="003C4B48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</w:p>
        </w:tc>
      </w:tr>
      <w:tr w:rsidR="003C4B48" w:rsidTr="003C4B48">
        <w:trPr>
          <w:trHeight w:hRule="exact" w:val="399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B48" w:rsidRDefault="003C4B48" w:rsidP="003C4B4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4B48" w:rsidRDefault="003C4B48" w:rsidP="003C4B4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B48" w:rsidRDefault="003C4B48" w:rsidP="003C4B48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9C6525" w:rsidRDefault="003C4B48" w:rsidP="009C6525">
      <w:pPr>
        <w:pStyle w:val="1"/>
        <w:ind w:firstLine="0"/>
        <w:jc w:val="both"/>
        <w:rPr>
          <w:color w:val="auto"/>
        </w:rPr>
      </w:pPr>
      <w:r w:rsidRPr="003C4B48">
        <w:rPr>
          <w:color w:val="auto"/>
        </w:rPr>
        <w:t>Высшее образование - бакалавриат</w:t>
      </w:r>
      <w:r w:rsidRPr="003C4B48">
        <w:rPr>
          <w:color w:val="auto"/>
        </w:rPr>
        <w:br/>
        <w:t xml:space="preserve">Дополнительное профессиональное образование- программы повышения квалификации в области медиации </w:t>
      </w:r>
    </w:p>
    <w:p w:rsidR="00CA7593" w:rsidRDefault="00CA7593" w:rsidP="009C6525">
      <w:pPr>
        <w:pStyle w:val="1"/>
        <w:ind w:firstLine="0"/>
        <w:jc w:val="both"/>
        <w:rPr>
          <w:color w:val="auto"/>
        </w:rPr>
      </w:pPr>
    </w:p>
    <w:p w:rsidR="00470BC4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CA7593" w:rsidRPr="00164597" w:rsidRDefault="00CA7593" w:rsidP="009C6525">
      <w:pPr>
        <w:pStyle w:val="1"/>
        <w:ind w:firstLine="708"/>
        <w:jc w:val="both"/>
        <w:rPr>
          <w:rStyle w:val="a5"/>
          <w:color w:val="auto"/>
        </w:rPr>
      </w:pPr>
    </w:p>
    <w:p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CA7593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CA7593">
        <w:rPr>
          <w:color w:val="auto"/>
        </w:rPr>
        <w:t xml:space="preserve">Возраст не менее 25 лет 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lastRenderedPageBreak/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CA7593">
        <w:rPr>
          <w:color w:val="auto"/>
        </w:rPr>
        <w:t xml:space="preserve">высшего образования </w:t>
      </w:r>
      <w:bookmarkStart w:id="2" w:name="sub_11142"/>
      <w:bookmarkEnd w:id="1"/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</w:t>
      </w:r>
      <w:r w:rsidR="00CA7593">
        <w:rPr>
          <w:color w:val="auto"/>
        </w:rPr>
        <w:t>, подтверждающий наличие д</w:t>
      </w:r>
      <w:r w:rsidR="00CA7593" w:rsidRPr="00CA7593">
        <w:rPr>
          <w:color w:val="auto"/>
        </w:rPr>
        <w:t>ополнительно</w:t>
      </w:r>
      <w:r w:rsidR="00CA7593">
        <w:rPr>
          <w:color w:val="auto"/>
        </w:rPr>
        <w:t>го</w:t>
      </w:r>
      <w:r w:rsidR="00CA7593" w:rsidRPr="00CA7593">
        <w:rPr>
          <w:color w:val="auto"/>
        </w:rPr>
        <w:t xml:space="preserve"> профессионально</w:t>
      </w:r>
      <w:r w:rsidR="00CA7593">
        <w:rPr>
          <w:color w:val="auto"/>
        </w:rPr>
        <w:t>го</w:t>
      </w:r>
      <w:r w:rsidR="00CA7593" w:rsidRPr="00CA7593">
        <w:rPr>
          <w:color w:val="auto"/>
        </w:rPr>
        <w:t xml:space="preserve"> образовани</w:t>
      </w:r>
      <w:r w:rsidR="00CA7593">
        <w:rPr>
          <w:color w:val="auto"/>
        </w:rPr>
        <w:t xml:space="preserve">я </w:t>
      </w:r>
      <w:r w:rsidR="00CA7593" w:rsidRPr="00CA7593">
        <w:rPr>
          <w:color w:val="auto"/>
        </w:rPr>
        <w:t>- программ повышения квалификации в области медиации</w:t>
      </w:r>
    </w:p>
    <w:bookmarkEnd w:id="3"/>
    <w:p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A0" w:rsidRDefault="007B0FA0">
      <w:r>
        <w:separator/>
      </w:r>
    </w:p>
  </w:endnote>
  <w:endnote w:type="continuationSeparator" w:id="0">
    <w:p w:rsidR="007B0FA0" w:rsidRDefault="007B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A0" w:rsidRDefault="007B0FA0">
      <w:r>
        <w:separator/>
      </w:r>
    </w:p>
  </w:footnote>
  <w:footnote w:type="continuationSeparator" w:id="0">
    <w:p w:rsidR="007B0FA0" w:rsidRDefault="007B0FA0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9F301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9F3015">
                <w:pPr>
                  <w:pStyle w:val="22"/>
                  <w:rPr>
                    <w:sz w:val="22"/>
                    <w:szCs w:val="22"/>
                  </w:rPr>
                </w:pPr>
                <w:r w:rsidRPr="009F3015">
                  <w:fldChar w:fldCharType="begin"/>
                </w:r>
                <w:r w:rsidR="00303E1C">
                  <w:instrText xml:space="preserve"> PAGE \* MERGEFORMAT </w:instrText>
                </w:r>
                <w:r w:rsidRPr="009F3015">
                  <w:fldChar w:fldCharType="separate"/>
                </w:r>
                <w:r w:rsidR="00623030" w:rsidRPr="00623030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7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E4060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C4B48"/>
    <w:rsid w:val="003F7864"/>
    <w:rsid w:val="00452045"/>
    <w:rsid w:val="00470BC4"/>
    <w:rsid w:val="004A03BD"/>
    <w:rsid w:val="004A431D"/>
    <w:rsid w:val="004D2BC9"/>
    <w:rsid w:val="00561852"/>
    <w:rsid w:val="00623030"/>
    <w:rsid w:val="0062305A"/>
    <w:rsid w:val="00681601"/>
    <w:rsid w:val="006A663A"/>
    <w:rsid w:val="006C3BD8"/>
    <w:rsid w:val="007B0FA0"/>
    <w:rsid w:val="007B1A1A"/>
    <w:rsid w:val="008757D2"/>
    <w:rsid w:val="008F76D0"/>
    <w:rsid w:val="009B636B"/>
    <w:rsid w:val="009C6525"/>
    <w:rsid w:val="009F3015"/>
    <w:rsid w:val="00A25F14"/>
    <w:rsid w:val="00A32A57"/>
    <w:rsid w:val="00A34472"/>
    <w:rsid w:val="00A91F6F"/>
    <w:rsid w:val="00AB4BBB"/>
    <w:rsid w:val="00AE7D48"/>
    <w:rsid w:val="00B32637"/>
    <w:rsid w:val="00B46C96"/>
    <w:rsid w:val="00BD6EB9"/>
    <w:rsid w:val="00C4426D"/>
    <w:rsid w:val="00CA7593"/>
    <w:rsid w:val="00CC73D5"/>
    <w:rsid w:val="00D2704A"/>
    <w:rsid w:val="00D35B9C"/>
    <w:rsid w:val="00D86034"/>
    <w:rsid w:val="00DB5F48"/>
    <w:rsid w:val="00EB47DA"/>
    <w:rsid w:val="00EC5A1B"/>
    <w:rsid w:val="00F3201E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F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F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F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9F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F3015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F301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9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F301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2022-12-21T07:28:00Z</cp:lastPrinted>
  <dcterms:created xsi:type="dcterms:W3CDTF">2023-05-18T09:34:00Z</dcterms:created>
  <dcterms:modified xsi:type="dcterms:W3CDTF">2023-05-18T09:34:00Z</dcterms:modified>
</cp:coreProperties>
</file>